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sz w:val="24"/>
          <w:szCs w:val="24"/>
        </w:rPr>
      </w:pPr>
      <w:r>
        <w:rPr>
          <w:rFonts w:ascii="Times New Roman" w:hAnsi="Times New Roman"/>
          <w:b/>
          <w:bCs/>
          <w:sz w:val="24"/>
          <w:szCs w:val="24"/>
        </w:rPr>
        <w:t>Estimation of Neutron-Induced Fission Product Yield Uncertainties from</w:t>
      </w:r>
    </w:p>
    <w:p>
      <w:pPr>
        <w:pStyle w:val="Normal"/>
        <w:spacing w:lineRule="auto" w:line="360"/>
        <w:jc w:val="center"/>
        <w:rPr>
          <w:sz w:val="24"/>
          <w:szCs w:val="24"/>
        </w:rPr>
      </w:pPr>
      <w:r>
        <w:rPr>
          <w:rFonts w:ascii="Times New Roman" w:hAnsi="Times New Roman"/>
          <w:b/>
          <w:bCs/>
          <w:sz w:val="24"/>
          <w:szCs w:val="24"/>
        </w:rPr>
        <w:t>Gamma Spectra Data with Bayesian Inverse UQ</w:t>
      </w:r>
    </w:p>
    <w:p>
      <w:pPr>
        <w:pStyle w:val="Normal"/>
        <w:spacing w:lineRule="auto" w:line="360"/>
        <w:jc w:val="center"/>
        <w:rPr>
          <w:rFonts w:ascii="Times New Roman" w:hAnsi="Times New Roman"/>
          <w:szCs w:val="24"/>
        </w:rPr>
      </w:pPr>
      <w:r>
        <w:rPr>
          <w:rFonts w:ascii="Times New Roman" w:hAnsi="Times New Roman"/>
          <w:b/>
          <w:bCs/>
          <w:sz w:val="22"/>
          <w:szCs w:val="22"/>
        </w:rPr>
        <w:t>Brady, Christopher</w:t>
      </w:r>
      <w:r>
        <w:rPr>
          <w:rFonts w:ascii="Times New Roman" w:hAnsi="Times New Roman"/>
          <w:b/>
          <w:bCs/>
          <w:sz w:val="22"/>
          <w:szCs w:val="22"/>
          <w:vertAlign w:val="superscript"/>
        </w:rPr>
        <w:t>1</w:t>
      </w:r>
      <w:r>
        <w:rPr>
          <w:rFonts w:ascii="Times New Roman" w:hAnsi="Times New Roman"/>
          <w:b/>
          <w:bCs/>
          <w:sz w:val="22"/>
          <w:szCs w:val="22"/>
        </w:rPr>
        <w:t xml:space="preserve"> and Wu, Xu</w:t>
      </w:r>
      <w:r>
        <w:rPr>
          <w:rFonts w:ascii="Times New Roman" w:hAnsi="Times New Roman"/>
          <w:b/>
          <w:bCs/>
          <w:sz w:val="22"/>
          <w:szCs w:val="22"/>
          <w:vertAlign w:val="superscript"/>
        </w:rPr>
        <w:t>1</w:t>
      </w:r>
    </w:p>
    <w:p>
      <w:pPr>
        <w:pStyle w:val="ListParagraph"/>
        <w:numPr>
          <w:ilvl w:val="0"/>
          <w:numId w:val="1"/>
        </w:numPr>
        <w:spacing w:lineRule="auto" w:line="360"/>
        <w:ind w:hanging="270" w:left="1710"/>
        <w:rPr>
          <w:rFonts w:ascii="Times New Roman" w:hAnsi="Times New Roman"/>
          <w:b/>
          <w:bCs/>
          <w:sz w:val="22"/>
          <w:szCs w:val="22"/>
        </w:rPr>
      </w:pPr>
      <w:r>
        <w:rPr>
          <w:rFonts w:ascii="Times New Roman" w:hAnsi="Times New Roman"/>
          <w:b/>
          <w:bCs/>
          <w:sz w:val="22"/>
          <w:szCs w:val="22"/>
        </w:rPr>
        <w:t>Department of Nuclear Engineering, North Carolina State University, Raleigh, NC, USA</w:t>
      </w:r>
    </w:p>
    <w:p>
      <w:pPr>
        <w:pStyle w:val="Normal"/>
        <w:ind w:hanging="270"/>
        <w:rPr>
          <w:rFonts w:ascii="Times New Roman" w:hAnsi="Times New Roman"/>
          <w:b/>
          <w:bCs/>
          <w:sz w:val="22"/>
          <w:szCs w:val="22"/>
        </w:rPr>
      </w:pPr>
      <w:r>
        <w:rPr>
          <w:rFonts w:ascii="Times New Roman" w:hAnsi="Times New Roman"/>
          <w:b/>
          <w:bCs/>
          <w:sz w:val="22"/>
          <w:szCs w:val="22"/>
        </w:rPr>
      </w:r>
    </w:p>
    <w:p>
      <w:pPr>
        <w:pStyle w:val="Normal"/>
        <w:rPr>
          <w:rFonts w:ascii="Times New Roman" w:hAnsi="Times New Roman"/>
        </w:rPr>
      </w:pPr>
      <w:r>
        <w:rPr>
          <w:rFonts w:ascii="Times New Roman" w:hAnsi="Times New Roman"/>
          <w:sz w:val="22"/>
          <w:szCs w:val="22"/>
        </w:rPr>
        <w:t>The fission product yields (FPYs) in ENDF/B libraries have been largely unchanged since the early 1990's [1]. The current independent FPYs show high relative uncertainties, with many of these uncertainties established by the evaluators' best estimation. This FPY data is important to many modeling and simulation tools used throughout multiple nuclear disciplines. One particular application of interest involves rapid classification of fission type in post-detonation scenarios [2]. Classifiers capable of identifying fissile material type and neutron energy spectrum from radionuclide activities measured by gamma spectroscopy have been developed. These classifiers have been shown to lose effectiveness in classification accuracy with increasing uncertainties in their model parameters. As the models are reliant on FPYs, improving these uncertainties will provide more confidence in the classification predictions leading to more informed decisions. This work uses a Bayesian Inverse Uncertainty Quantification (IUQ) methodology to quantify uncertainties in FPYs. Bayesian IUQ identifies calibration parameter distributions which produce model predictions in agreement with experimental data [3]. This work employs Serpent burnup models and GADRAS-DRF detector response models paired with a set of gamma spectra measurements of irradiated fissionable specimens. The computational burden of the IUQ process is reduced through fast and accurate machine learning-based surrogate models.</w:t>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cs="Calibri"/>
          <w:spacing w:val="-3"/>
          <w:sz w:val="22"/>
          <w:szCs w:val="22"/>
        </w:rPr>
      </w:pPr>
      <w:r>
        <w:rPr>
          <w:rFonts w:cs="Calibri" w:ascii="Times New Roman" w:hAnsi="Times New Roman"/>
          <w:spacing w:val="-3"/>
          <w:sz w:val="22"/>
          <w:szCs w:val="22"/>
        </w:rPr>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Fonts w:cs="Calibri" w:ascii="Times New Roman" w:hAnsi="Times New Roman"/>
          <w:b/>
          <w:bCs/>
          <w:spacing w:val="-3"/>
          <w:sz w:val="22"/>
          <w:szCs w:val="22"/>
        </w:rPr>
        <w:t>References:</w:t>
      </w:r>
      <w:r>
        <w:rPr>
          <w:rFonts w:cs="Calibri" w:ascii="Times New Roman" w:hAnsi="Times New Roman"/>
          <w:spacing w:val="-3"/>
          <w:sz w:val="22"/>
          <w:szCs w:val="22"/>
        </w:rPr>
        <w:t xml:space="preserve"> </w:t>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Fonts w:cs="Calibri" w:ascii="Times New Roman" w:hAnsi="Times New Roman"/>
          <w:spacing w:val="-3"/>
          <w:sz w:val="22"/>
          <w:szCs w:val="22"/>
        </w:rPr>
        <w:t>[1] England, T. R. and Rider, B. F. (1994) Tech. Rep. LA-UR-94-3106 (ENDF-349).</w:t>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Fonts w:cs="Calibri" w:ascii="Times New Roman" w:hAnsi="Times New Roman"/>
          <w:spacing w:val="-3"/>
          <w:sz w:val="22"/>
          <w:szCs w:val="22"/>
        </w:rPr>
        <w:t>[2] Gifford, J. H. (2020) Ph.D. dissertation, North Carolina State University.</w:t>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Fonts w:cs="Calibri" w:ascii="Times New Roman" w:hAnsi="Times New Roman"/>
          <w:spacing w:val="-3"/>
          <w:sz w:val="22"/>
          <w:szCs w:val="22"/>
        </w:rPr>
        <w:t>[3] Wu, X. et al. (2018) Nuclear Engineering and Design, 335, 339–355.</w:t>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
    </w:p>
    <w:p>
      <w:pPr>
        <w:pStyle w:val="Normal"/>
        <w:numPr>
          <w:ilvl w:val="0"/>
          <w:numId w:val="0"/>
        </w:numPr>
        <w:tabs>
          <w:tab w:val="left" w:pos="-720" w:leader="none"/>
          <w:tab w:val="left" w:pos="0" w:leader="none"/>
          <w:tab w:val="left" w:pos="720" w:leader="none"/>
        </w:tabs>
        <w:suppressAutoHyphens w:val="true"/>
        <w:ind w:hanging="0" w:left="0"/>
        <w:rPr>
          <w:rFonts w:ascii="Times New Roman" w:hAnsi="Times New Roman"/>
        </w:rPr>
      </w:pPr>
      <w:r>
        <w:rPr>
          <w:rFonts w:cs="Calibri" w:ascii="Times New Roman" w:hAnsi="Times New Roman"/>
          <w:b/>
          <w:bCs/>
          <w:spacing w:val="-3"/>
          <w:sz w:val="22"/>
          <w:szCs w:val="22"/>
        </w:rPr>
        <w:t>Acknowledgements</w:t>
      </w:r>
      <w:r>
        <w:rPr>
          <w:rFonts w:cs="Calibri" w:ascii="Times New Roman" w:hAnsi="Times New Roman"/>
          <w:b/>
          <w:bCs/>
          <w:spacing w:val="-3"/>
          <w:sz w:val="22"/>
          <w:szCs w:val="22"/>
        </w:rPr>
        <w:t>:</w:t>
      </w:r>
      <w:r>
        <w:rPr>
          <w:rFonts w:cs="Calibri" w:ascii="Times New Roman" w:hAnsi="Times New Roman"/>
          <w:spacing w:val="-3"/>
          <w:sz w:val="22"/>
          <w:szCs w:val="22"/>
        </w:rPr>
        <w:t xml:space="preserve"> </w:t>
      </w:r>
    </w:p>
    <w:p>
      <w:pPr>
        <w:pStyle w:val="Normal"/>
        <w:numPr>
          <w:ilvl w:val="0"/>
          <w:numId w:val="0"/>
        </w:numPr>
        <w:tabs>
          <w:tab w:val="left" w:pos="-720" w:leader="none"/>
          <w:tab w:val="left" w:pos="0" w:leader="none"/>
          <w:tab w:val="left" w:pos="720" w:leader="none"/>
        </w:tabs>
        <w:suppressAutoHyphens w:val="true"/>
        <w:ind w:hanging="0" w:left="0"/>
        <w:rPr/>
      </w:pPr>
      <w:r>
        <w:rPr>
          <w:rStyle w:val="Emphasis"/>
          <w:rFonts w:cs="Calibri" w:ascii="Times New Roman" w:hAnsi="Times New Roman"/>
          <w:i w:val="false"/>
          <w:iCs w:val="false"/>
          <w:spacing w:val="-3"/>
          <w:sz w:val="22"/>
          <w:szCs w:val="22"/>
        </w:rPr>
        <w:t>This material is based upon work supported by the Consortium for Nuclear Forensics under Department of Energy, National Nuclear Security Administration award number DE-NA0004142. The views and opinions of authors expressed herein do not necessarily state or reflect those of the United States Government or any agency thereof.</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710" w:hanging="360"/>
      </w:pPr>
      <w:rPr/>
    </w:lvl>
    <w:lvl w:ilvl="1">
      <w:start w:val="1"/>
      <w:numFmt w:val="lowerLetter"/>
      <w:lvlText w:val="%2."/>
      <w:lvlJc w:val="left"/>
      <w:pPr>
        <w:tabs>
          <w:tab w:val="num" w:pos="0"/>
        </w:tabs>
        <w:ind w:left="2430" w:hanging="360"/>
      </w:pPr>
      <w:rPr/>
    </w:lvl>
    <w:lvl w:ilvl="2">
      <w:start w:val="1"/>
      <w:numFmt w:val="lowerRoman"/>
      <w:lvlText w:val="%3."/>
      <w:lvlJc w:val="right"/>
      <w:pPr>
        <w:tabs>
          <w:tab w:val="num" w:pos="0"/>
        </w:tabs>
        <w:ind w:left="3150" w:hanging="180"/>
      </w:pPr>
      <w:rPr/>
    </w:lvl>
    <w:lvl w:ilvl="3">
      <w:start w:val="1"/>
      <w:numFmt w:val="decimal"/>
      <w:lvlText w:val="%4."/>
      <w:lvlJc w:val="left"/>
      <w:pPr>
        <w:tabs>
          <w:tab w:val="num" w:pos="0"/>
        </w:tabs>
        <w:ind w:left="3870" w:hanging="360"/>
      </w:pPr>
      <w:rPr/>
    </w:lvl>
    <w:lvl w:ilvl="4">
      <w:start w:val="1"/>
      <w:numFmt w:val="lowerLetter"/>
      <w:lvlText w:val="%5."/>
      <w:lvlJc w:val="left"/>
      <w:pPr>
        <w:tabs>
          <w:tab w:val="num" w:pos="0"/>
        </w:tabs>
        <w:ind w:left="4590" w:hanging="360"/>
      </w:pPr>
      <w:rPr/>
    </w:lvl>
    <w:lvl w:ilvl="5">
      <w:start w:val="1"/>
      <w:numFmt w:val="lowerRoman"/>
      <w:lvlText w:val="%6."/>
      <w:lvlJc w:val="right"/>
      <w:pPr>
        <w:tabs>
          <w:tab w:val="num" w:pos="0"/>
        </w:tabs>
        <w:ind w:left="5310" w:hanging="180"/>
      </w:pPr>
      <w:rPr/>
    </w:lvl>
    <w:lvl w:ilvl="6">
      <w:start w:val="1"/>
      <w:numFmt w:val="decimal"/>
      <w:lvlText w:val="%7."/>
      <w:lvlJc w:val="left"/>
      <w:pPr>
        <w:tabs>
          <w:tab w:val="num" w:pos="0"/>
        </w:tabs>
        <w:ind w:left="6030" w:hanging="360"/>
      </w:pPr>
      <w:rPr/>
    </w:lvl>
    <w:lvl w:ilvl="7">
      <w:start w:val="1"/>
      <w:numFmt w:val="lowerLetter"/>
      <w:lvlText w:val="%8."/>
      <w:lvlJc w:val="left"/>
      <w:pPr>
        <w:tabs>
          <w:tab w:val="num" w:pos="0"/>
        </w:tabs>
        <w:ind w:left="6750" w:hanging="360"/>
      </w:pPr>
      <w:rPr/>
    </w:lvl>
    <w:lvl w:ilvl="8">
      <w:start w:val="1"/>
      <w:numFmt w:val="lowerRoman"/>
      <w:lvlText w:val="%9."/>
      <w:lvlJc w:val="right"/>
      <w:pPr>
        <w:tabs>
          <w:tab w:val="num" w:pos="0"/>
        </w:tabs>
        <w:ind w:left="747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07"/>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0941"/>
    <w:pPr>
      <w:widowControl/>
      <w:suppressAutoHyphens w:val="true"/>
      <w:bidi w:val="0"/>
      <w:spacing w:before="0" w:after="0"/>
      <w:jc w:val="left"/>
    </w:pPr>
    <w:rPr>
      <w:rFonts w:ascii="Courier" w:hAnsi="Courier" w:eastAsia="Times New Roman" w:cs="Times New Roman"/>
      <w:color w:val="auto"/>
      <w:kern w:val="0"/>
      <w:sz w:val="24"/>
      <w:szCs w:val="20"/>
      <w:lang w:val="en-U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665c"/>
    <w:rPr>
      <w:sz w:val="16"/>
      <w:szCs w:val="16"/>
    </w:rPr>
  </w:style>
  <w:style w:type="character" w:styleId="CommentTextChar" w:customStyle="1">
    <w:name w:val="Comment Text Char"/>
    <w:basedOn w:val="DefaultParagraphFont"/>
    <w:link w:val="AnnotationText"/>
    <w:uiPriority w:val="99"/>
    <w:semiHidden/>
    <w:qFormat/>
    <w:rsid w:val="0073665c"/>
    <w:rPr>
      <w:rFonts w:ascii="Courier" w:hAnsi="Courier" w:eastAsia="Times New Roman" w:cs="Times New Roman"/>
      <w:sz w:val="20"/>
      <w:szCs w:val="20"/>
    </w:rPr>
  </w:style>
  <w:style w:type="character" w:styleId="CommentSubjectChar" w:customStyle="1">
    <w:name w:val="Comment Subject Char"/>
    <w:basedOn w:val="CommentTextChar"/>
    <w:link w:val="annotationsubject"/>
    <w:uiPriority w:val="99"/>
    <w:semiHidden/>
    <w:qFormat/>
    <w:rsid w:val="0073665c"/>
    <w:rPr>
      <w:rFonts w:ascii="Courier" w:hAnsi="Courier" w:eastAsia="Times New Roman" w:cs="Times New Roman"/>
      <w:b/>
      <w:bCs/>
      <w:sz w:val="20"/>
      <w:szCs w:val="20"/>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0e6c84"/>
    <w:pPr>
      <w:spacing w:before="0" w:after="0"/>
      <w:ind w:left="720"/>
      <w:contextualSpacing/>
    </w:pPr>
    <w:rPr/>
  </w:style>
  <w:style w:type="paragraph" w:styleId="AnnotationText">
    <w:name w:val="Annotation Text"/>
    <w:basedOn w:val="Normal"/>
    <w:link w:val="CommentTextChar"/>
    <w:uiPriority w:val="99"/>
    <w:semiHidden/>
    <w:unhideWhenUsed/>
    <w:rsid w:val="0073665c"/>
    <w:pPr/>
    <w:rPr>
      <w:sz w:val="20"/>
    </w:rPr>
  </w:style>
  <w:style w:type="paragraph" w:styleId="annotationsubject">
    <w:name w:val="annotation subject"/>
    <w:basedOn w:val="AnnotationText"/>
    <w:next w:val="AnnotationText"/>
    <w:link w:val="CommentSubjectChar"/>
    <w:uiPriority w:val="99"/>
    <w:semiHidden/>
    <w:unhideWhenUsed/>
    <w:qFormat/>
    <w:rsid w:val="0073665c"/>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LibreOffice/24.2.7.2$Linux_X86_64 LibreOffice_project/420$Build-2</Application>
  <AppVersion>15.0000</AppVersion>
  <Pages>1</Pages>
  <Words>319</Words>
  <Characters>1992</Characters>
  <CharactersWithSpaces>2300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2025-10-28T16:39:00Z</dcterms:created>
  <dc:creator>Adil Akkouch</dc:creator>
  <dc:description/>
  <dc:language>en-US</dc:language>
  <cp:lastModifiedBy/>
  <dcterms:modified xsi:type="dcterms:W3CDTF">2025-12-01T10:08:12Z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